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5" w:rsidRPr="00CB5667" w:rsidRDefault="007B2394" w:rsidP="00270561">
      <w:pPr>
        <w:pStyle w:val="a4"/>
        <w:spacing w:line="240" w:lineRule="auto"/>
        <w:jc w:val="center"/>
        <w:rPr>
          <w:rStyle w:val="1"/>
          <w:rFonts w:ascii="華康鋼筆體W2(P)" w:eastAsia="華康鋼筆體W2(P)" w:hAnsiTheme="majorEastAsia"/>
          <w:color w:val="auto"/>
          <w:sz w:val="52"/>
          <w:szCs w:val="52"/>
        </w:rPr>
      </w:pPr>
      <w:r w:rsidRPr="00CB5667">
        <w:rPr>
          <w:rStyle w:val="1"/>
          <w:rFonts w:ascii="華康鋼筆體W2(P)" w:eastAsia="華康鋼筆體W2(P)" w:hAnsiTheme="majorEastAsia" w:cs="華康儷金黑" w:hint="eastAsia"/>
          <w:b/>
          <w:color w:val="000000"/>
          <w:sz w:val="52"/>
          <w:szCs w:val="52"/>
        </w:rPr>
        <w:t>羊協一家親第</w:t>
      </w:r>
      <w:r w:rsidR="001D73B5">
        <w:rPr>
          <w:rStyle w:val="1"/>
          <w:rFonts w:ascii="華康鋼筆體W2(P)" w:eastAsia="華康鋼筆體W2(P)" w:hAnsiTheme="majorEastAsia" w:cs="華康儷金黑" w:hint="eastAsia"/>
          <w:b/>
          <w:color w:val="auto"/>
          <w:sz w:val="52"/>
          <w:szCs w:val="52"/>
        </w:rPr>
        <w:t>9</w:t>
      </w:r>
      <w:r w:rsidR="00FB087C">
        <w:rPr>
          <w:rStyle w:val="1"/>
          <w:rFonts w:ascii="華康鋼筆體W2(P)" w:eastAsia="華康鋼筆體W2(P)" w:hAnsiTheme="majorEastAsia" w:cs="華康儷金黑" w:hint="eastAsia"/>
          <w:b/>
          <w:color w:val="auto"/>
          <w:sz w:val="52"/>
          <w:szCs w:val="52"/>
        </w:rPr>
        <w:t>4</w:t>
      </w:r>
      <w:r w:rsidR="004C76B5" w:rsidRPr="00CB5667">
        <w:rPr>
          <w:rStyle w:val="1"/>
          <w:rFonts w:ascii="華康鋼筆體W2(P)" w:eastAsia="華康鋼筆體W2(P)" w:hAnsiTheme="majorEastAsia" w:cs="華康儷金黑" w:hint="eastAsia"/>
          <w:b/>
          <w:color w:val="auto"/>
          <w:sz w:val="52"/>
          <w:szCs w:val="52"/>
        </w:rPr>
        <w:t>期會刊</w:t>
      </w:r>
      <w:r w:rsidR="00A47C09" w:rsidRPr="00CB5667">
        <w:rPr>
          <w:rStyle w:val="1"/>
          <w:rFonts w:ascii="華康鋼筆體W2(P)" w:eastAsia="華康鋼筆體W2(P)" w:hAnsiTheme="majorEastAsia" w:cs="華康儷金黑" w:hint="eastAsia"/>
          <w:b/>
          <w:color w:val="auto"/>
          <w:sz w:val="52"/>
          <w:szCs w:val="52"/>
        </w:rPr>
        <w:t>廣告委刊單</w:t>
      </w:r>
    </w:p>
    <w:p w:rsidR="00A057A2" w:rsidRPr="00C53BCA" w:rsidRDefault="00A057A2" w:rsidP="00A057A2">
      <w:pPr>
        <w:pStyle w:val="a4"/>
        <w:snapToGrid w:val="0"/>
        <w:spacing w:line="460" w:lineRule="exact"/>
        <w:ind w:left="567" w:hanging="567"/>
        <w:rPr>
          <w:rFonts w:ascii="華康鋼筆體W2(P)" w:eastAsia="華康鋼筆體W2(P)" w:cs="ATC-4e2d660e*+t"/>
          <w:color w:val="auto"/>
          <w:sz w:val="32"/>
          <w:szCs w:val="32"/>
        </w:rPr>
      </w:pPr>
    </w:p>
    <w:p w:rsidR="004C76B5" w:rsidRPr="00C53BCA" w:rsidRDefault="00AC392A" w:rsidP="00A057A2">
      <w:pPr>
        <w:pStyle w:val="a4"/>
        <w:snapToGrid w:val="0"/>
        <w:spacing w:line="460" w:lineRule="exact"/>
        <w:ind w:left="567" w:hanging="567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一、受理委刊期限：即日起到</w:t>
      </w:r>
      <w:r w:rsidR="00D7020C">
        <w:rPr>
          <w:rFonts w:ascii="華康鋼筆體W2(P)" w:eastAsia="華康鋼筆體W2(P)" w:cs="ATC-4e2d660e*+t" w:hint="eastAsia"/>
          <w:color w:val="auto"/>
          <w:sz w:val="32"/>
          <w:szCs w:val="32"/>
        </w:rPr>
        <w:t>113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年</w:t>
      </w:r>
      <w:r w:rsidR="00FB087C">
        <w:rPr>
          <w:rFonts w:ascii="華康鋼筆體W2(P)" w:eastAsia="華康鋼筆體W2(P)" w:cs="ATC-4e2d660e*+t" w:hint="eastAsia"/>
          <w:color w:val="auto"/>
          <w:sz w:val="32"/>
          <w:szCs w:val="32"/>
        </w:rPr>
        <w:t>7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月</w:t>
      </w:r>
      <w:r w:rsidR="00D7020C">
        <w:rPr>
          <w:rFonts w:ascii="華康鋼筆體W2(P)" w:eastAsia="華康鋼筆體W2(P)" w:cs="ATC-4e2d660e*+t" w:hint="eastAsia"/>
          <w:color w:val="auto"/>
          <w:sz w:val="32"/>
          <w:szCs w:val="32"/>
        </w:rPr>
        <w:t>15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日下午5</w:t>
      </w:r>
      <w:r w:rsidR="004C76B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時前。</w:t>
      </w:r>
    </w:p>
    <w:p w:rsidR="004C76B5" w:rsidRPr="00C53BCA" w:rsidRDefault="004C76B5" w:rsidP="00A057A2">
      <w:pPr>
        <w:pStyle w:val="a4"/>
        <w:snapToGrid w:val="0"/>
        <w:spacing w:line="460" w:lineRule="exact"/>
        <w:ind w:left="567" w:hanging="567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二、請廣告主提供完整委刊圖稿樣式，廣告檔案光碟資料敬請郵寄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（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嘉義市彌陀路105號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）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或e-mail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（</w:t>
      </w:r>
      <w:r w:rsidR="00A37F05" w:rsidRPr="00047665">
        <w:rPr>
          <w:rFonts w:ascii="華康鋼筆體W2(P)" w:eastAsia="華康鋼筆體W2(P)" w:cs="ATC-4e2d660e*+t" w:hint="eastAsia"/>
          <w:sz w:val="32"/>
          <w:szCs w:val="32"/>
        </w:rPr>
        <w:t>goat.tw@msa.hinet.net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）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本會。</w:t>
      </w:r>
    </w:p>
    <w:p w:rsidR="004C76B5" w:rsidRPr="00C53BCA" w:rsidRDefault="004C76B5" w:rsidP="00A057A2">
      <w:pPr>
        <w:pStyle w:val="a4"/>
        <w:snapToGrid w:val="0"/>
        <w:spacing w:line="460" w:lineRule="exact"/>
        <w:ind w:left="567" w:hanging="567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三、委刊辦法：請填妥廣告委刊單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（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請見下方</w:t>
      </w:r>
      <w:r w:rsidR="00A37F05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）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傳真通知本會。</w:t>
      </w:r>
    </w:p>
    <w:p w:rsidR="00D30B2F" w:rsidRPr="00C53BCA" w:rsidRDefault="00D30B2F" w:rsidP="00A057A2">
      <w:pPr>
        <w:pStyle w:val="a4"/>
        <w:spacing w:line="460" w:lineRule="exact"/>
        <w:jc w:val="left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四、收費：專刊出版後一個月內，本會檢具收據向各廣告主請款。</w:t>
      </w:r>
    </w:p>
    <w:p w:rsidR="00A057A2" w:rsidRPr="00C53BCA" w:rsidRDefault="00A057A2" w:rsidP="00A057A2">
      <w:pPr>
        <w:pStyle w:val="a4"/>
        <w:spacing w:line="440" w:lineRule="exact"/>
        <w:jc w:val="left"/>
        <w:rPr>
          <w:rFonts w:ascii="華康鋼筆體W2(P)" w:eastAsia="華康鋼筆體W2(P)" w:cs="ATC-4e2d660e*+t"/>
          <w:color w:val="auto"/>
          <w:sz w:val="32"/>
          <w:szCs w:val="32"/>
        </w:rPr>
      </w:pPr>
    </w:p>
    <w:p w:rsidR="004C76B5" w:rsidRPr="00C53BCA" w:rsidRDefault="004C76B5" w:rsidP="00A057A2">
      <w:pPr>
        <w:pStyle w:val="a4"/>
        <w:spacing w:line="440" w:lineRule="exact"/>
        <w:jc w:val="center"/>
        <w:rPr>
          <w:rFonts w:ascii="華康鋼筆體W2(P)" w:eastAsia="華康鋼筆體W2(P)" w:cs="ATC-4e2d660e*+t"/>
          <w:sz w:val="32"/>
          <w:szCs w:val="32"/>
        </w:rPr>
      </w:pP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 xml:space="preserve">                         </w:t>
      </w:r>
      <w:r w:rsidR="00942237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 xml:space="preserve">  </w:t>
      </w:r>
      <w:r w:rsidR="004E0B49" w:rsidRPr="00C53BCA">
        <w:rPr>
          <w:rFonts w:ascii="華康鋼筆體W2(P)" w:eastAsia="華康鋼筆體W2(P)" w:hAnsi="新細明體" w:cs="新細明體" w:hint="eastAsia"/>
          <w:color w:val="auto"/>
          <w:sz w:val="32"/>
          <w:szCs w:val="32"/>
        </w:rPr>
        <w:t xml:space="preserve">    </w:t>
      </w:r>
      <w:r w:rsidR="00A057A2" w:rsidRPr="00C53BCA">
        <w:rPr>
          <w:rFonts w:ascii="華康鋼筆體W2(P)" w:eastAsia="華康鋼筆體W2(P)" w:hAnsi="新細明體" w:cs="新細明體" w:hint="eastAsia"/>
          <w:color w:val="auto"/>
          <w:sz w:val="32"/>
          <w:szCs w:val="32"/>
        </w:rPr>
        <w:t xml:space="preserve">   </w:t>
      </w:r>
      <w:r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>廣告委刊單</w:t>
      </w:r>
      <w:r w:rsidR="00D30B2F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 xml:space="preserve"> </w:t>
      </w:r>
      <w:r w:rsidR="00D7020C">
        <w:rPr>
          <w:rFonts w:ascii="華康鋼筆體W2(P)" w:eastAsia="華康鋼筆體W2(P)" w:cs="ATC-4e2d660e*+t" w:hint="eastAsia"/>
          <w:color w:val="auto"/>
          <w:sz w:val="32"/>
          <w:szCs w:val="32"/>
        </w:rPr>
        <w:t>113</w:t>
      </w:r>
      <w:r w:rsidR="00D30B2F" w:rsidRPr="00C53BCA">
        <w:rPr>
          <w:rFonts w:ascii="華康鋼筆體W2(P)" w:eastAsia="華康鋼筆體W2(P)" w:cs="ATC-4e2d660e*+t" w:hint="eastAsia"/>
          <w:color w:val="auto"/>
          <w:sz w:val="32"/>
          <w:szCs w:val="32"/>
        </w:rPr>
        <w:t xml:space="preserve"> </w:t>
      </w:r>
      <w:r w:rsidRPr="00C53BCA">
        <w:rPr>
          <w:rFonts w:ascii="華康鋼筆體W2(P)" w:eastAsia="華康鋼筆體W2(P)" w:cs="ATC-4e2d660e*+t" w:hint="eastAsia"/>
          <w:sz w:val="32"/>
          <w:szCs w:val="32"/>
        </w:rPr>
        <w:t>年</w:t>
      </w:r>
      <w:r w:rsidR="00D30B2F" w:rsidRPr="00C53BCA">
        <w:rPr>
          <w:rFonts w:ascii="華康鋼筆體W2(P)" w:eastAsia="華康鋼筆體W2(P)" w:cs="ATC-4e2d660e*+t" w:hint="eastAsia"/>
          <w:sz w:val="32"/>
          <w:szCs w:val="32"/>
        </w:rPr>
        <w:t xml:space="preserve">     </w:t>
      </w:r>
      <w:r w:rsidRPr="00C53BCA">
        <w:rPr>
          <w:rFonts w:ascii="華康鋼筆體W2(P)" w:eastAsia="華康鋼筆體W2(P)" w:cs="ATC-4e2d660e*+t" w:hint="eastAsia"/>
          <w:sz w:val="32"/>
          <w:szCs w:val="32"/>
        </w:rPr>
        <w:t>月</w:t>
      </w:r>
      <w:r w:rsidR="00D30B2F" w:rsidRPr="00C53BCA">
        <w:rPr>
          <w:rFonts w:ascii="華康鋼筆體W2(P)" w:eastAsia="華康鋼筆體W2(P)" w:cs="ATC-4e2d660e*+t" w:hint="eastAsia"/>
          <w:sz w:val="32"/>
          <w:szCs w:val="32"/>
        </w:rPr>
        <w:t xml:space="preserve">     </w:t>
      </w:r>
      <w:r w:rsidRPr="00C53BCA">
        <w:rPr>
          <w:rFonts w:ascii="華康鋼筆體W2(P)" w:eastAsia="華康鋼筆體W2(P)" w:cs="ATC-4e2d660e*+t" w:hint="eastAsia"/>
          <w:sz w:val="32"/>
          <w:szCs w:val="32"/>
        </w:rPr>
        <w:t>日</w:t>
      </w: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4C76B5" w:rsidRPr="00C53BCA" w:rsidTr="00C53BCA">
        <w:trPr>
          <w:trHeight w:val="4612"/>
        </w:trPr>
        <w:tc>
          <w:tcPr>
            <w:tcW w:w="104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茲有廣告一則，請刊登於中華民國養羊協會「羊協一家親</w:t>
            </w:r>
            <w:r w:rsidR="00FB087C">
              <w:rPr>
                <w:rFonts w:ascii="華康鋼筆體W2(P)" w:eastAsia="華康鋼筆體W2(P)" w:hint="eastAsia"/>
                <w:sz w:val="32"/>
                <w:szCs w:val="32"/>
              </w:rPr>
              <w:t>94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期」專刊。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廣告費：新台幣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萬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仟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佰元整。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刊登期別：</w:t>
            </w:r>
            <w:r w:rsidR="00D7020C">
              <w:rPr>
                <w:rFonts w:ascii="華康鋼筆體W2(P)" w:eastAsia="華康鋼筆體W2(P)" w:hint="eastAsia"/>
                <w:sz w:val="32"/>
                <w:szCs w:val="32"/>
              </w:rPr>
              <w:t>113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年</w:t>
            </w:r>
            <w:r w:rsidR="00FB087C">
              <w:rPr>
                <w:rFonts w:ascii="華康鋼筆體W2(P)" w:eastAsia="華康鋼筆體W2(P)" w:hint="eastAsia"/>
                <w:sz w:val="32"/>
                <w:szCs w:val="32"/>
              </w:rPr>
              <w:t>8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月第</w:t>
            </w:r>
            <w:r w:rsidR="00FB087C">
              <w:rPr>
                <w:rFonts w:ascii="華康鋼筆體W2(P)" w:eastAsia="華康鋼筆體W2(P)" w:hint="eastAsia"/>
                <w:sz w:val="32"/>
                <w:szCs w:val="32"/>
              </w:rPr>
              <w:t>94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期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廣告版位：□封底</w:t>
            </w:r>
            <w:r w:rsidR="004E0B49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□封面裏</w:t>
            </w:r>
            <w:r w:rsidR="004E0B49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□封底裏</w:t>
            </w:r>
            <w:r w:rsidR="004E0B49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□彩色內全頁</w:t>
            </w:r>
            <w:r w:rsidR="004E0B49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□單色內全頁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委刊公司（行號）：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                        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　                    　             　</w:t>
            </w:r>
            <w:r w:rsidR="00AC392A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 　             　                    　      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公司地址：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                               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　                    　　                    　　                    　　                    　　                  </w:t>
            </w:r>
          </w:p>
          <w:p w:rsidR="004C76B5" w:rsidRPr="00C53BCA" w:rsidRDefault="004C76B5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</w:rPr>
            </w:pP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聯絡電話</w:t>
            </w:r>
            <w:r w:rsidR="00270561" w:rsidRPr="00C53BCA">
              <w:rPr>
                <w:rFonts w:ascii="華康鋼筆體W2(P)" w:eastAsia="華康鋼筆體W2(P)" w:hint="eastAsia"/>
                <w:sz w:val="32"/>
                <w:szCs w:val="32"/>
              </w:rPr>
              <w:t>、手機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：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   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>傳真：</w:t>
            </w:r>
            <w:r w:rsidR="00C53BCA"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   </w:t>
            </w:r>
            <w:r w:rsidR="00270561"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　        　     </w:t>
            </w:r>
            <w:r w:rsidRPr="00C53BCA">
              <w:rPr>
                <w:rFonts w:ascii="華康鋼筆體W2(P)" w:eastAsia="華康鋼筆體W2(P)" w:hint="eastAsia"/>
                <w:sz w:val="32"/>
                <w:szCs w:val="32"/>
              </w:rPr>
              <w:t xml:space="preserve">　                    　              </w:t>
            </w:r>
          </w:p>
          <w:p w:rsidR="00A057A2" w:rsidRPr="00C53BCA" w:rsidRDefault="00C53BCA" w:rsidP="00C53BCA">
            <w:pPr>
              <w:spacing w:line="560" w:lineRule="exact"/>
              <w:jc w:val="both"/>
              <w:rPr>
                <w:rFonts w:ascii="華康鋼筆體W2(P)" w:eastAsia="華康鋼筆體W2(P)"/>
                <w:sz w:val="32"/>
                <w:szCs w:val="32"/>
                <w:u w:val="single"/>
              </w:rPr>
            </w:pPr>
            <w:r>
              <w:rPr>
                <w:rFonts w:ascii="華康鋼筆體W2(P)" w:eastAsia="華康鋼筆體W2(P)" w:hint="eastAsia"/>
                <w:sz w:val="32"/>
                <w:szCs w:val="32"/>
              </w:rPr>
              <w:t>公司</w:t>
            </w:r>
            <w:r w:rsidR="004C76B5" w:rsidRPr="00C53BCA">
              <w:rPr>
                <w:rFonts w:ascii="華康鋼筆體W2(P)" w:eastAsia="華康鋼筆體W2(P)" w:hint="eastAsia"/>
                <w:sz w:val="32"/>
                <w:szCs w:val="32"/>
              </w:rPr>
              <w:t>統一編號：</w:t>
            </w:r>
            <w:r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華康鋼筆體W2(P)" w:eastAsia="華康鋼筆體W2(P)" w:hint="eastAsia"/>
                <w:sz w:val="32"/>
                <w:szCs w:val="32"/>
              </w:rPr>
              <w:t xml:space="preserve"> </w:t>
            </w:r>
            <w:r w:rsidR="00A057A2" w:rsidRPr="00C53BCA">
              <w:rPr>
                <w:rFonts w:ascii="華康鋼筆體W2(P)" w:eastAsia="華康鋼筆體W2(P)" w:hint="eastAsia"/>
                <w:sz w:val="32"/>
                <w:szCs w:val="32"/>
              </w:rPr>
              <w:t>廣告聯絡</w:t>
            </w:r>
            <w:r w:rsidR="004C76B5" w:rsidRPr="00C53BCA">
              <w:rPr>
                <w:rFonts w:ascii="華康鋼筆體W2(P)" w:eastAsia="華康鋼筆體W2(P)" w:hint="eastAsia"/>
                <w:sz w:val="32"/>
                <w:szCs w:val="32"/>
              </w:rPr>
              <w:t>人</w:t>
            </w:r>
            <w:r w:rsidR="00AC392A" w:rsidRPr="00C53BCA">
              <w:rPr>
                <w:rFonts w:ascii="華康鋼筆體W2(P)" w:eastAsia="華康鋼筆體W2(P)" w:hint="eastAsia"/>
                <w:sz w:val="32"/>
                <w:szCs w:val="32"/>
              </w:rPr>
              <w:t>：</w:t>
            </w:r>
            <w:r>
              <w:rPr>
                <w:rFonts w:ascii="華康鋼筆體W2(P)" w:eastAsia="華康鋼筆體W2(P)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 w:rsidR="004C76B5" w:rsidRPr="0039150A" w:rsidRDefault="004C76B5" w:rsidP="00F70F8F">
      <w:pPr>
        <w:pStyle w:val="a4"/>
        <w:snapToGrid w:val="0"/>
        <w:spacing w:line="460" w:lineRule="exact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39150A">
        <w:rPr>
          <w:rFonts w:ascii="華康鋼筆體W2(P)" w:eastAsia="華康鋼筆體W2(P)" w:hAnsi="標楷體" w:cs="ATC-4e2d660e*+t" w:hint="eastAsia"/>
          <w:sz w:val="32"/>
          <w:szCs w:val="32"/>
        </w:rPr>
        <w:t>◎</w:t>
      </w:r>
      <w:r w:rsidRPr="0039150A">
        <w:rPr>
          <w:rFonts w:ascii="華康鋼筆體W2(P)" w:eastAsia="華康鋼筆體W2(P)" w:cs="ATC-4e2d660e*+t" w:hint="eastAsia"/>
          <w:sz w:val="32"/>
          <w:szCs w:val="32"/>
        </w:rPr>
        <w:t>中華民國養羊協會會刊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第</w:t>
      </w:r>
      <w:r w:rsidR="00FB087C">
        <w:rPr>
          <w:rFonts w:ascii="華康鋼筆體W2(P)" w:eastAsia="華康鋼筆體W2(P)" w:cs="ATC-4e2d660e*+t" w:hint="eastAsia"/>
          <w:color w:val="auto"/>
          <w:sz w:val="32"/>
          <w:szCs w:val="32"/>
        </w:rPr>
        <w:t>94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期預定</w:t>
      </w:r>
      <w:r w:rsidR="00411585">
        <w:rPr>
          <w:rFonts w:ascii="華康鋼筆體W2(P)" w:eastAsia="華康鋼筆體W2(P)" w:cs="ATC-4e2d660e*+t" w:hint="eastAsia"/>
          <w:color w:val="auto"/>
          <w:sz w:val="32"/>
          <w:szCs w:val="32"/>
        </w:rPr>
        <w:t>113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年</w:t>
      </w:r>
      <w:r w:rsidR="00FB087C">
        <w:rPr>
          <w:rFonts w:ascii="華康鋼筆體W2(P)" w:eastAsia="華康鋼筆體W2(P)" w:cs="ATC-4e2d660e*+t" w:hint="eastAsia"/>
          <w:color w:val="auto"/>
          <w:sz w:val="32"/>
          <w:szCs w:val="32"/>
        </w:rPr>
        <w:t>8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月底前出版。</w:t>
      </w:r>
    </w:p>
    <w:p w:rsidR="004C76B5" w:rsidRPr="0039150A" w:rsidRDefault="004C76B5" w:rsidP="00F70F8F">
      <w:pPr>
        <w:pStyle w:val="a4"/>
        <w:snapToGrid w:val="0"/>
        <w:spacing w:before="57" w:line="460" w:lineRule="exact"/>
        <w:ind w:left="283" w:hanging="283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39150A">
        <w:rPr>
          <w:rFonts w:ascii="華康鋼筆體W2(P)" w:eastAsia="華康鋼筆體W2(P)" w:hAnsi="標楷體" w:cs="ATC-4e2d660e*+t" w:hint="eastAsia"/>
          <w:color w:val="auto"/>
          <w:sz w:val="32"/>
          <w:szCs w:val="32"/>
        </w:rPr>
        <w:t>◎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廣告委刊單請於</w:t>
      </w:r>
      <w:r w:rsidR="00411585">
        <w:rPr>
          <w:rFonts w:ascii="華康鋼筆體W2(P)" w:eastAsia="華康鋼筆體W2(P)" w:cs="ATC-4e2d660e*+t" w:hint="eastAsia"/>
          <w:color w:val="auto"/>
          <w:sz w:val="32"/>
          <w:szCs w:val="32"/>
        </w:rPr>
        <w:t>113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年</w:t>
      </w:r>
      <w:r w:rsidR="00FB087C">
        <w:rPr>
          <w:rFonts w:ascii="華康鋼筆體W2(P)" w:eastAsia="華康鋼筆體W2(P)" w:cs="ATC-4e2d660e*+t" w:hint="eastAsia"/>
          <w:color w:val="auto"/>
          <w:sz w:val="32"/>
          <w:szCs w:val="32"/>
        </w:rPr>
        <w:t>7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月</w:t>
      </w:r>
      <w:r w:rsidR="00411585">
        <w:rPr>
          <w:rFonts w:ascii="華康鋼筆體W2(P)" w:eastAsia="華康鋼筆體W2(P)" w:cs="ATC-4e2d660e*+t" w:hint="eastAsia"/>
          <w:color w:val="auto"/>
          <w:sz w:val="32"/>
          <w:szCs w:val="32"/>
        </w:rPr>
        <w:t>15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日下午5時前傳真</w:t>
      </w:r>
      <w:r w:rsidR="00A37F05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（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05</w:t>
      </w:r>
      <w:r w:rsidR="00A37F05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）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216-5047或郵寄</w:t>
      </w:r>
      <w:r w:rsidR="00B30A5A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嘉義市彌陀路105號</w:t>
      </w:r>
      <w:r w:rsidR="00D30B2F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 xml:space="preserve"> 中華民國養羊協會</w:t>
      </w:r>
      <w:r w:rsidR="00B30A5A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收</w:t>
      </w:r>
    </w:p>
    <w:p w:rsidR="00A37F05" w:rsidRPr="0039150A" w:rsidRDefault="004C76B5" w:rsidP="00F70F8F">
      <w:pPr>
        <w:pStyle w:val="a4"/>
        <w:snapToGrid w:val="0"/>
        <w:spacing w:before="57" w:line="460" w:lineRule="exact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39150A">
        <w:rPr>
          <w:rFonts w:ascii="華康鋼筆體W2(P)" w:eastAsia="華康鋼筆體W2(P)" w:hAnsi="標楷體" w:cs="ATC-4e2d660e*+t" w:hint="eastAsia"/>
          <w:color w:val="auto"/>
          <w:sz w:val="32"/>
          <w:szCs w:val="32"/>
        </w:rPr>
        <w:t>◎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中華民國養羊協會以「贊助款」名義開立收據。</w:t>
      </w:r>
    </w:p>
    <w:p w:rsidR="004C76B5" w:rsidRPr="0039150A" w:rsidRDefault="004C76B5" w:rsidP="00F70F8F">
      <w:pPr>
        <w:pStyle w:val="a4"/>
        <w:snapToGrid w:val="0"/>
        <w:spacing w:before="57" w:line="460" w:lineRule="exact"/>
        <w:rPr>
          <w:rFonts w:ascii="華康鋼筆體W2(P)" w:eastAsia="華康鋼筆體W2(P)" w:cs="ATC-4e2d660e*+t"/>
          <w:color w:val="auto"/>
          <w:sz w:val="32"/>
          <w:szCs w:val="32"/>
        </w:rPr>
      </w:pPr>
      <w:r w:rsidRPr="0039150A">
        <w:rPr>
          <w:rFonts w:ascii="華康鋼筆體W2(P)" w:eastAsia="華康鋼筆體W2(P)" w:hAnsi="標楷體" w:cs="ATC-4e2d660e*+t" w:hint="eastAsia"/>
          <w:color w:val="auto"/>
          <w:sz w:val="32"/>
          <w:szCs w:val="32"/>
        </w:rPr>
        <w:t>◎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會刊廣告優惠價目表</w:t>
      </w:r>
      <w:r w:rsidR="00A37F05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（</w:t>
      </w:r>
      <w:r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單位/元</w:t>
      </w:r>
      <w:r w:rsidR="00A37F05" w:rsidRPr="0039150A">
        <w:rPr>
          <w:rFonts w:ascii="華康鋼筆體W2(P)" w:eastAsia="華康鋼筆體W2(P)" w:cs="ATC-4e2d660e*+t" w:hint="eastAsia"/>
          <w:color w:val="auto"/>
          <w:sz w:val="32"/>
          <w:szCs w:val="32"/>
        </w:rPr>
        <w:t>）</w:t>
      </w:r>
    </w:p>
    <w:tbl>
      <w:tblPr>
        <w:tblW w:w="1049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22"/>
        <w:gridCol w:w="2623"/>
        <w:gridCol w:w="2622"/>
        <w:gridCol w:w="2623"/>
      </w:tblGrid>
      <w:tr w:rsidR="004C76B5" w:rsidRPr="00BC6B7D" w:rsidTr="00A057A2">
        <w:trPr>
          <w:cantSplit/>
          <w:trHeight w:val="437"/>
        </w:trPr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版次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彩色</w:t>
            </w:r>
          </w:p>
        </w:tc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黑白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規格(公分)</w:t>
            </w:r>
          </w:p>
        </w:tc>
      </w:tr>
      <w:tr w:rsidR="004C76B5" w:rsidRPr="00BC6B7D" w:rsidTr="00A057A2">
        <w:trPr>
          <w:cantSplit/>
          <w:trHeight w:val="437"/>
        </w:trPr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封  底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10,000</w:t>
            </w:r>
          </w:p>
        </w:tc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360651" w:rsidP="00AC392A">
            <w:pPr>
              <w:pStyle w:val="a3"/>
              <w:spacing w:line="240" w:lineRule="auto"/>
              <w:jc w:val="center"/>
              <w:textAlignment w:val="auto"/>
              <w:rPr>
                <w:rFonts w:ascii="華康鋼筆體W2(P)" w:eastAsia="華康鋼筆體W2(P)" w:cstheme="minorBidi"/>
                <w:color w:val="auto"/>
                <w:sz w:val="32"/>
                <w:szCs w:val="32"/>
                <w:lang w:val="en-US"/>
              </w:rPr>
            </w:pPr>
            <w:r w:rsidRPr="00BC6B7D">
              <w:rPr>
                <w:rFonts w:ascii="華康鋼筆體W2(P)" w:eastAsia="華康鋼筆體W2(P)" w:cstheme="minorBidi" w:hint="eastAsia"/>
                <w:color w:val="auto"/>
                <w:sz w:val="32"/>
                <w:szCs w:val="32"/>
                <w:lang w:val="en-US"/>
              </w:rPr>
              <w:t>－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19.5</w:t>
            </w:r>
            <w:r w:rsidR="00B30A5A"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 xml:space="preserve"> × </w:t>
            </w: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28</w:t>
            </w:r>
          </w:p>
        </w:tc>
      </w:tr>
      <w:tr w:rsidR="004C76B5" w:rsidRPr="00BC6B7D" w:rsidTr="00A057A2">
        <w:trPr>
          <w:cantSplit/>
          <w:trHeight w:val="437"/>
        </w:trPr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封面裏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8,000</w:t>
            </w:r>
          </w:p>
        </w:tc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360651" w:rsidP="00AC392A">
            <w:pPr>
              <w:pStyle w:val="a3"/>
              <w:spacing w:line="240" w:lineRule="auto"/>
              <w:jc w:val="center"/>
              <w:textAlignment w:val="auto"/>
              <w:rPr>
                <w:rFonts w:ascii="華康鋼筆體W2(P)" w:eastAsia="華康鋼筆體W2(P)" w:cstheme="minorBidi"/>
                <w:color w:val="auto"/>
                <w:sz w:val="32"/>
                <w:szCs w:val="32"/>
                <w:lang w:val="en-US"/>
              </w:rPr>
            </w:pPr>
            <w:r w:rsidRPr="00BC6B7D">
              <w:rPr>
                <w:rFonts w:ascii="華康鋼筆體W2(P)" w:eastAsia="華康鋼筆體W2(P)" w:cstheme="minorBidi" w:hint="eastAsia"/>
                <w:color w:val="auto"/>
                <w:sz w:val="32"/>
                <w:szCs w:val="32"/>
                <w:lang w:val="en-US"/>
              </w:rPr>
              <w:t>－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19.5</w:t>
            </w:r>
            <w:r w:rsidR="00B30A5A"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 xml:space="preserve"> × </w:t>
            </w: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28</w:t>
            </w:r>
          </w:p>
        </w:tc>
      </w:tr>
      <w:tr w:rsidR="004C76B5" w:rsidRPr="00BC6B7D" w:rsidTr="00A057A2">
        <w:trPr>
          <w:cantSplit/>
          <w:trHeight w:val="437"/>
        </w:trPr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封底裏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6,000</w:t>
            </w:r>
          </w:p>
        </w:tc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360651" w:rsidP="00AC392A">
            <w:pPr>
              <w:pStyle w:val="a3"/>
              <w:spacing w:line="240" w:lineRule="auto"/>
              <w:jc w:val="center"/>
              <w:textAlignment w:val="auto"/>
              <w:rPr>
                <w:rFonts w:ascii="華康鋼筆體W2(P)" w:eastAsia="華康鋼筆體W2(P)" w:cstheme="minorBidi"/>
                <w:color w:val="auto"/>
                <w:sz w:val="32"/>
                <w:szCs w:val="32"/>
                <w:lang w:val="en-US"/>
              </w:rPr>
            </w:pPr>
            <w:r w:rsidRPr="00BC6B7D">
              <w:rPr>
                <w:rFonts w:ascii="華康鋼筆體W2(P)" w:eastAsia="華康鋼筆體W2(P)" w:cstheme="minorBidi" w:hint="eastAsia"/>
                <w:color w:val="auto"/>
                <w:sz w:val="32"/>
                <w:szCs w:val="32"/>
                <w:lang w:val="en-US"/>
              </w:rPr>
              <w:t>－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19.5</w:t>
            </w:r>
            <w:r w:rsidR="00B30A5A"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 xml:space="preserve"> × </w:t>
            </w: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28</w:t>
            </w:r>
          </w:p>
        </w:tc>
      </w:tr>
      <w:tr w:rsidR="004C76B5" w:rsidRPr="00BC6B7D" w:rsidTr="00A057A2">
        <w:trPr>
          <w:cantSplit/>
          <w:trHeight w:val="437"/>
        </w:trPr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內全頁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4,000</w:t>
            </w:r>
          </w:p>
        </w:tc>
        <w:tc>
          <w:tcPr>
            <w:tcW w:w="262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2,000</w:t>
            </w:r>
          </w:p>
        </w:tc>
        <w:tc>
          <w:tcPr>
            <w:tcW w:w="262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76B5" w:rsidRPr="00BC6B7D" w:rsidRDefault="004C76B5" w:rsidP="004C76B5">
            <w:pPr>
              <w:pStyle w:val="a4"/>
              <w:jc w:val="center"/>
              <w:rPr>
                <w:rFonts w:ascii="華康鋼筆體W2(P)" w:eastAsia="華康鋼筆體W2(P)" w:cs="ATC-4e2d660e*+t"/>
                <w:sz w:val="32"/>
                <w:szCs w:val="32"/>
              </w:rPr>
            </w:pP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19.5</w:t>
            </w:r>
            <w:r w:rsidR="00B30A5A"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 xml:space="preserve"> × </w:t>
            </w:r>
            <w:r w:rsidRPr="00BC6B7D">
              <w:rPr>
                <w:rFonts w:ascii="華康鋼筆體W2(P)" w:eastAsia="華康鋼筆體W2(P)" w:cs="ATC-4e2d660e*+t" w:hint="eastAsia"/>
                <w:sz w:val="32"/>
                <w:szCs w:val="32"/>
              </w:rPr>
              <w:t>28</w:t>
            </w:r>
          </w:p>
        </w:tc>
      </w:tr>
    </w:tbl>
    <w:p w:rsidR="00D30B2F" w:rsidRPr="00BC6B7D" w:rsidRDefault="00B30A5A" w:rsidP="006D516A">
      <w:pPr>
        <w:pStyle w:val="a4"/>
        <w:rPr>
          <w:rFonts w:ascii="華康鋼筆體W2(P)" w:eastAsia="華康鋼筆體W2(P)" w:cs="ATC-4e2d660e*+t"/>
          <w:sz w:val="26"/>
          <w:szCs w:val="26"/>
        </w:rPr>
      </w:pPr>
      <w:r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            </w:t>
      </w:r>
      <w:r w:rsidR="00AC392A"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</w:t>
      </w:r>
      <w:r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</w:t>
      </w:r>
      <w:r w:rsidR="005A773D"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</w:t>
      </w:r>
      <w:r w:rsidR="00A057A2"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 </w:t>
      </w:r>
      <w:r w:rsidR="006969B8" w:rsidRP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</w:t>
      </w:r>
      <w:r w:rsidR="00BC6B7D">
        <w:rPr>
          <w:rFonts w:ascii="華康鋼筆體W2(P)" w:eastAsia="華康鋼筆體W2(P)" w:hAnsi="標楷體" w:cs="ATC-4e2d660e*+t" w:hint="eastAsia"/>
          <w:sz w:val="28"/>
          <w:szCs w:val="28"/>
        </w:rPr>
        <w:t xml:space="preserve">   </w:t>
      </w:r>
      <w:r w:rsidR="00B33935">
        <w:rPr>
          <w:rFonts w:ascii="華康鋼筆體W2(P)" w:eastAsia="華康鋼筆體W2(P)" w:hAnsi="標楷體" w:cs="ATC-4e2d660e*+t" w:hint="eastAsia"/>
          <w:sz w:val="28"/>
          <w:szCs w:val="28"/>
        </w:rPr>
        <w:t xml:space="preserve">    </w:t>
      </w:r>
      <w:r w:rsidR="00AA22E5" w:rsidRPr="00BC6B7D">
        <w:rPr>
          <w:rFonts w:ascii="華康鋼筆體W2(P)" w:eastAsia="華康鋼筆體W2(P)" w:cs="ATC-4e2d660e*+t" w:hint="eastAsia"/>
          <w:sz w:val="28"/>
          <w:szCs w:val="28"/>
        </w:rPr>
        <w:t>聯絡人：林專員</w:t>
      </w:r>
      <w:r w:rsidR="00B33935" w:rsidRPr="00B33935">
        <w:rPr>
          <w:rFonts w:ascii="華康鋼筆體W2(P)" w:eastAsia="華康鋼筆體W2(P)" w:cs="ATC-4e2d660e*+t" w:hint="eastAsia"/>
          <w:sz w:val="28"/>
          <w:szCs w:val="28"/>
          <w:lang w:val="en-US"/>
        </w:rPr>
        <w:t>．</w:t>
      </w:r>
      <w:r w:rsidR="00717992" w:rsidRPr="00BC6B7D">
        <w:rPr>
          <w:rFonts w:ascii="華康鋼筆體W2(P)" w:eastAsia="華康鋼筆體W2(P)" w:cs="ATC-4e2d660e*+t" w:hint="eastAsia"/>
          <w:sz w:val="28"/>
          <w:szCs w:val="28"/>
        </w:rPr>
        <w:t>電話</w:t>
      </w:r>
      <w:r w:rsidR="00B33935">
        <w:rPr>
          <w:rFonts w:ascii="華康鋼筆體W2(P)" w:eastAsia="華康鋼筆體W2(P)" w:cs="ATC-4e2d660e*+t" w:hint="eastAsia"/>
          <w:sz w:val="28"/>
          <w:szCs w:val="28"/>
        </w:rPr>
        <w:t>：</w:t>
      </w:r>
      <w:r w:rsidR="004C76B5" w:rsidRPr="00BC6B7D">
        <w:rPr>
          <w:rFonts w:ascii="華康鋼筆體W2(P)" w:eastAsia="華康鋼筆體W2(P)" w:cs="ATC-4e2d660e*+t" w:hint="eastAsia"/>
          <w:sz w:val="28"/>
          <w:szCs w:val="28"/>
        </w:rPr>
        <w:t>05</w:t>
      </w:r>
      <w:r w:rsidR="00B33935">
        <w:rPr>
          <w:rFonts w:ascii="華康鋼筆體W2(P)" w:eastAsia="華康鋼筆體W2(P)" w:cs="ATC-4e2d660e*+t" w:hint="eastAsia"/>
          <w:sz w:val="28"/>
          <w:szCs w:val="28"/>
        </w:rPr>
        <w:t>-216</w:t>
      </w:r>
      <w:r w:rsidR="004C76B5" w:rsidRPr="00BC6B7D">
        <w:rPr>
          <w:rFonts w:ascii="華康鋼筆體W2(P)" w:eastAsia="華康鋼筆體W2(P)" w:cs="ATC-4e2d660e*+t" w:hint="eastAsia"/>
          <w:sz w:val="28"/>
          <w:szCs w:val="28"/>
        </w:rPr>
        <w:t>5048</w:t>
      </w:r>
      <w:r w:rsidR="00B33935">
        <w:rPr>
          <w:rFonts w:ascii="華康鋼筆體W2(P)" w:eastAsia="華康鋼筆體W2(P)" w:cs="ATC-4e2d660e*+t" w:hint="eastAsia"/>
          <w:sz w:val="28"/>
          <w:szCs w:val="28"/>
        </w:rPr>
        <w:t>．傳真：</w:t>
      </w:r>
      <w:r w:rsidR="004C76B5" w:rsidRPr="00BC6B7D">
        <w:rPr>
          <w:rFonts w:ascii="華康鋼筆體W2(P)" w:eastAsia="華康鋼筆體W2(P)" w:cs="ATC-4e2d660e*+t" w:hint="eastAsia"/>
          <w:sz w:val="28"/>
          <w:szCs w:val="28"/>
        </w:rPr>
        <w:t>05</w:t>
      </w:r>
      <w:r w:rsidR="00B33935">
        <w:rPr>
          <w:rFonts w:ascii="華康鋼筆體W2(P)" w:eastAsia="華康鋼筆體W2(P)" w:cs="ATC-4e2d660e*+t" w:hint="eastAsia"/>
          <w:sz w:val="28"/>
          <w:szCs w:val="28"/>
        </w:rPr>
        <w:t>-216</w:t>
      </w:r>
      <w:r w:rsidR="004C76B5" w:rsidRPr="00BC6B7D">
        <w:rPr>
          <w:rFonts w:ascii="華康鋼筆體W2(P)" w:eastAsia="華康鋼筆體W2(P)" w:cs="ATC-4e2d660e*+t" w:hint="eastAsia"/>
          <w:sz w:val="28"/>
          <w:szCs w:val="28"/>
        </w:rPr>
        <w:t>5047</w:t>
      </w:r>
    </w:p>
    <w:sectPr w:rsidR="00D30B2F" w:rsidRPr="00BC6B7D" w:rsidSect="00A37F05">
      <w:pgSz w:w="11907" w:h="16840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2F" w:rsidRDefault="00D30B2F" w:rsidP="004E0B49">
      <w:pPr>
        <w:spacing w:line="240" w:lineRule="auto"/>
      </w:pPr>
      <w:r>
        <w:separator/>
      </w:r>
    </w:p>
  </w:endnote>
  <w:endnote w:type="continuationSeparator" w:id="0">
    <w:p w:rsidR="00D30B2F" w:rsidRDefault="00D30B2F" w:rsidP="004E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鋼筆體W2(P)">
    <w:panose1 w:val="03000200000000000000"/>
    <w:charset w:val="88"/>
    <w:family w:val="script"/>
    <w:pitch w:val="variable"/>
    <w:sig w:usb0="80000001" w:usb1="28091800" w:usb2="00000016" w:usb3="00000000" w:csb0="00100000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TC-4e2d660e*+t">
    <w:altName w:val="華康彩帶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2F" w:rsidRDefault="00D30B2F" w:rsidP="004E0B49">
      <w:pPr>
        <w:spacing w:line="240" w:lineRule="auto"/>
      </w:pPr>
      <w:r>
        <w:separator/>
      </w:r>
    </w:p>
  </w:footnote>
  <w:footnote w:type="continuationSeparator" w:id="0">
    <w:p w:rsidR="00D30B2F" w:rsidRDefault="00D30B2F" w:rsidP="004E0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6B5"/>
    <w:rsid w:val="00026B75"/>
    <w:rsid w:val="00047665"/>
    <w:rsid w:val="00086A0D"/>
    <w:rsid w:val="001D73B5"/>
    <w:rsid w:val="0024315A"/>
    <w:rsid w:val="002466DA"/>
    <w:rsid w:val="00270561"/>
    <w:rsid w:val="0027245D"/>
    <w:rsid w:val="002A0477"/>
    <w:rsid w:val="002D15C6"/>
    <w:rsid w:val="002D66FA"/>
    <w:rsid w:val="00342D6B"/>
    <w:rsid w:val="003550E3"/>
    <w:rsid w:val="00360651"/>
    <w:rsid w:val="0039150A"/>
    <w:rsid w:val="003F7152"/>
    <w:rsid w:val="00411585"/>
    <w:rsid w:val="00427E51"/>
    <w:rsid w:val="00446F86"/>
    <w:rsid w:val="00466B1F"/>
    <w:rsid w:val="00484C77"/>
    <w:rsid w:val="004B22EB"/>
    <w:rsid w:val="004C76B5"/>
    <w:rsid w:val="004E0B49"/>
    <w:rsid w:val="00501053"/>
    <w:rsid w:val="005231D5"/>
    <w:rsid w:val="005A5D86"/>
    <w:rsid w:val="005A773D"/>
    <w:rsid w:val="005C2C92"/>
    <w:rsid w:val="005E3CE5"/>
    <w:rsid w:val="00623BDA"/>
    <w:rsid w:val="00654447"/>
    <w:rsid w:val="00680911"/>
    <w:rsid w:val="006842D2"/>
    <w:rsid w:val="006969B8"/>
    <w:rsid w:val="006D516A"/>
    <w:rsid w:val="00717992"/>
    <w:rsid w:val="00726A4D"/>
    <w:rsid w:val="00730B0B"/>
    <w:rsid w:val="00732944"/>
    <w:rsid w:val="00767B8D"/>
    <w:rsid w:val="007B2394"/>
    <w:rsid w:val="00805D94"/>
    <w:rsid w:val="00865027"/>
    <w:rsid w:val="008D65D1"/>
    <w:rsid w:val="00942237"/>
    <w:rsid w:val="00950024"/>
    <w:rsid w:val="00973274"/>
    <w:rsid w:val="009A5638"/>
    <w:rsid w:val="009E1D71"/>
    <w:rsid w:val="009E449F"/>
    <w:rsid w:val="00A057A2"/>
    <w:rsid w:val="00A12E52"/>
    <w:rsid w:val="00A13E62"/>
    <w:rsid w:val="00A37F05"/>
    <w:rsid w:val="00A47C09"/>
    <w:rsid w:val="00A700DD"/>
    <w:rsid w:val="00AA22E5"/>
    <w:rsid w:val="00AC392A"/>
    <w:rsid w:val="00AD508B"/>
    <w:rsid w:val="00B15CEF"/>
    <w:rsid w:val="00B17DDB"/>
    <w:rsid w:val="00B23CD1"/>
    <w:rsid w:val="00B30A5A"/>
    <w:rsid w:val="00B33935"/>
    <w:rsid w:val="00B5165A"/>
    <w:rsid w:val="00BC6B7D"/>
    <w:rsid w:val="00BF7F47"/>
    <w:rsid w:val="00C473BA"/>
    <w:rsid w:val="00C53BCA"/>
    <w:rsid w:val="00CB5667"/>
    <w:rsid w:val="00CE47FF"/>
    <w:rsid w:val="00D03300"/>
    <w:rsid w:val="00D112EA"/>
    <w:rsid w:val="00D30B2F"/>
    <w:rsid w:val="00D53B66"/>
    <w:rsid w:val="00D7020C"/>
    <w:rsid w:val="00DA2F57"/>
    <w:rsid w:val="00DE4971"/>
    <w:rsid w:val="00DF28AD"/>
    <w:rsid w:val="00E10F7A"/>
    <w:rsid w:val="00EC2EA6"/>
    <w:rsid w:val="00ED6F55"/>
    <w:rsid w:val="00F03060"/>
    <w:rsid w:val="00F1468E"/>
    <w:rsid w:val="00F1507C"/>
    <w:rsid w:val="00F439D8"/>
    <w:rsid w:val="00F43BE9"/>
    <w:rsid w:val="00F70F8F"/>
    <w:rsid w:val="00FA5550"/>
    <w:rsid w:val="00FB087C"/>
    <w:rsid w:val="00FC3C91"/>
    <w:rsid w:val="00FC7CDC"/>
    <w:rsid w:val="00FD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無段落樣式]"/>
    <w:rsid w:val="004C76B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customStyle="1" w:styleId="a4">
    <w:name w:val="[基本段落]"/>
    <w:basedOn w:val="a3"/>
    <w:uiPriority w:val="99"/>
    <w:rsid w:val="004C76B5"/>
  </w:style>
  <w:style w:type="character" w:customStyle="1" w:styleId="1">
    <w:name w:val="字元樣式1"/>
    <w:uiPriority w:val="99"/>
    <w:rsid w:val="004C76B5"/>
    <w:rPr>
      <w:rFonts w:ascii="華康少女文字W7" w:eastAsia="華康少女文字W7" w:cs="華康少女文字W7"/>
      <w:color w:val="E95405"/>
      <w:sz w:val="54"/>
      <w:szCs w:val="54"/>
    </w:rPr>
  </w:style>
  <w:style w:type="character" w:styleId="a5">
    <w:name w:val="Hyperlink"/>
    <w:basedOn w:val="a0"/>
    <w:uiPriority w:val="99"/>
    <w:unhideWhenUsed/>
    <w:rsid w:val="00A37F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0B4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E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E0B4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57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5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960</Characters>
  <Application>Microsoft Office Word</Application>
  <DocSecurity>0</DocSecurity>
  <Lines>8</Lines>
  <Paragraphs>2</Paragraphs>
  <ScaleCrop>false</ScaleCrop>
  <Company>mychat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goat</cp:lastModifiedBy>
  <cp:revision>51</cp:revision>
  <cp:lastPrinted>2022-03-02T06:09:00Z</cp:lastPrinted>
  <dcterms:created xsi:type="dcterms:W3CDTF">2018-07-04T02:22:00Z</dcterms:created>
  <dcterms:modified xsi:type="dcterms:W3CDTF">2024-03-07T08:37:00Z</dcterms:modified>
</cp:coreProperties>
</file>